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1C9440B9" w:rsidR="00A160B2" w:rsidRDefault="0075787A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8 July</w:t>
            </w:r>
            <w:r w:rsidR="00CE4DD2">
              <w:rPr>
                <w:rFonts w:cs="Arial"/>
              </w:rPr>
              <w:t xml:space="preserve"> 202</w:t>
            </w:r>
            <w:r w:rsidR="00D33D75">
              <w:rPr>
                <w:rFonts w:cs="Arial"/>
              </w:rPr>
              <w:t>1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5914456E" w14:textId="664BC2A5" w:rsidR="00A160B2" w:rsidRDefault="000551DE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Pensions Administration Update to 31 </w:t>
            </w:r>
            <w:r w:rsidR="0075787A">
              <w:rPr>
                <w:rFonts w:cs="Arial"/>
              </w:rPr>
              <w:t>March 2021</w:t>
            </w: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5CCCC410" w:rsidR="00A160B2" w:rsidRPr="00E444DF" w:rsidRDefault="00367CCA" w:rsidP="006C3150">
            <w:pPr>
              <w:pStyle w:val="Infotext"/>
              <w:rPr>
                <w:bCs/>
              </w:rPr>
            </w:pPr>
            <w:r w:rsidRPr="00E444DF">
              <w:rPr>
                <w:rFonts w:cs="Arial"/>
                <w:bCs/>
                <w:szCs w:val="24"/>
              </w:rPr>
              <w:t>Not applicable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8E11CE4" w14:textId="77777777" w:rsidR="00CE4DD2" w:rsidRDefault="00CE4DD2" w:rsidP="006C3150">
            <w:pPr>
              <w:pStyle w:val="Infotext"/>
            </w:pPr>
          </w:p>
          <w:p w14:paraId="4C232B02" w14:textId="346A801A" w:rsidR="00A160B2" w:rsidRDefault="000551DE" w:rsidP="006C3150">
            <w:pPr>
              <w:pStyle w:val="Infotext"/>
            </w:pPr>
            <w:r>
              <w:t xml:space="preserve">Appendix 1: Pension Administration Performance Monitoring to 31 </w:t>
            </w:r>
            <w:r w:rsidR="0075787A">
              <w:t>March 2021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ACF03" w14:textId="77777777" w:rsidR="00E444DF" w:rsidRDefault="00E444DF" w:rsidP="00912904">
            <w:pPr>
              <w:pStyle w:val="Heading2"/>
              <w:spacing w:before="240" w:after="240"/>
            </w:pPr>
          </w:p>
          <w:p w14:paraId="47AF8288" w14:textId="09634280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0ECEC9A7" w:rsidR="00A160B2" w:rsidRDefault="000551DE" w:rsidP="00A160B2">
            <w:r w:rsidRPr="005F307D">
              <w:rPr>
                <w:szCs w:val="24"/>
              </w:rPr>
              <w:t>This report summarises the performance of the Pensions Administration team for the quarter ended</w:t>
            </w:r>
            <w:r>
              <w:rPr>
                <w:szCs w:val="24"/>
              </w:rPr>
              <w:t xml:space="preserve"> 31 </w:t>
            </w:r>
            <w:r w:rsidR="00587BBB">
              <w:rPr>
                <w:szCs w:val="24"/>
              </w:rPr>
              <w:t>March 2021</w:t>
            </w:r>
            <w:r w:rsidR="0075614B">
              <w:t>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6DF71807" w:rsidR="00A160B2" w:rsidRDefault="00A360D6" w:rsidP="00A160B2">
            <w:r>
              <w:t xml:space="preserve">The Board is requested to </w:t>
            </w:r>
            <w:r w:rsidR="000551DE">
              <w:t>note the report</w:t>
            </w:r>
            <w:r w:rsidR="0075614B">
              <w:t xml:space="preserve">. 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46EC2B51" w14:textId="51B1F199" w:rsidR="000551DE" w:rsidRDefault="000551DE" w:rsidP="000551DE">
      <w:pPr>
        <w:numPr>
          <w:ilvl w:val="0"/>
          <w:numId w:val="16"/>
        </w:numPr>
        <w:jc w:val="both"/>
      </w:pPr>
      <w:r w:rsidRPr="009248D8">
        <w:t xml:space="preserve">Monitoring the service performance of the Fund is a key responsibility of the Board. The Board has been monitoring comparative pensions administration indicators since June 2017.  </w:t>
      </w:r>
      <w:r>
        <w:t xml:space="preserve">This report provides information on performance to 31 </w:t>
      </w:r>
      <w:r w:rsidR="00587BBB">
        <w:t>March 2021</w:t>
      </w:r>
      <w:r>
        <w:t>.</w:t>
      </w:r>
    </w:p>
    <w:p w14:paraId="51670173" w14:textId="77777777" w:rsidR="000551DE" w:rsidRDefault="000551DE" w:rsidP="000551DE">
      <w:pPr>
        <w:ind w:left="720"/>
        <w:jc w:val="both"/>
      </w:pPr>
    </w:p>
    <w:p w14:paraId="48D46F27" w14:textId="3D33BAB4" w:rsidR="000551DE" w:rsidRDefault="000551DE" w:rsidP="000551DE">
      <w:pPr>
        <w:numPr>
          <w:ilvl w:val="0"/>
          <w:numId w:val="16"/>
        </w:numPr>
        <w:jc w:val="both"/>
      </w:pPr>
      <w:r>
        <w:t xml:space="preserve">The Pensions administration performance statistics measured against the national benchmarks for the Quarter to 31 </w:t>
      </w:r>
      <w:r w:rsidR="00587BBB">
        <w:t>March 2021</w:t>
      </w:r>
      <w:r>
        <w:t xml:space="preserve"> are set out in Appendix 1.</w:t>
      </w:r>
      <w:r w:rsidR="005A293A">
        <w:t xml:space="preserve"> </w:t>
      </w:r>
      <w:r>
        <w:t>The Board is invited to comment on this performance.</w:t>
      </w:r>
    </w:p>
    <w:p w14:paraId="7A5F4F91" w14:textId="77777777" w:rsidR="000551DE" w:rsidRDefault="000551DE" w:rsidP="000551DE">
      <w:pPr>
        <w:pStyle w:val="ListParagraph"/>
      </w:pPr>
    </w:p>
    <w:p w14:paraId="0AE587B7" w14:textId="291D4384" w:rsidR="000551DE" w:rsidRDefault="000551DE" w:rsidP="000551DE">
      <w:pPr>
        <w:numPr>
          <w:ilvl w:val="0"/>
          <w:numId w:val="16"/>
        </w:numPr>
        <w:jc w:val="both"/>
      </w:pPr>
      <w:r>
        <w:t xml:space="preserve">Table 1 below sets out the membership of the Pension Fund in the current year to 31 </w:t>
      </w:r>
      <w:r w:rsidR="00587BBB">
        <w:t>March 2021</w:t>
      </w:r>
      <w:r>
        <w:t xml:space="preserve">, with previous years to 31 March as a </w:t>
      </w:r>
      <w:r>
        <w:lastRenderedPageBreak/>
        <w:t>comparator. The percentage of active members in the fund is one indicator of the maturity of the fund.</w:t>
      </w:r>
    </w:p>
    <w:p w14:paraId="22943200" w14:textId="77777777" w:rsidR="000551DE" w:rsidRDefault="000551DE" w:rsidP="000551DE">
      <w:pPr>
        <w:jc w:val="both"/>
      </w:pPr>
    </w:p>
    <w:tbl>
      <w:tblPr>
        <w:tblW w:w="0" w:type="auto"/>
        <w:tblInd w:w="381" w:type="dxa"/>
        <w:tblLook w:val="04A0" w:firstRow="1" w:lastRow="0" w:firstColumn="1" w:lastColumn="0" w:noHBand="0" w:noVBand="1"/>
      </w:tblPr>
      <w:tblGrid>
        <w:gridCol w:w="1318"/>
        <w:gridCol w:w="1273"/>
        <w:gridCol w:w="1418"/>
        <w:gridCol w:w="1524"/>
        <w:gridCol w:w="1946"/>
        <w:gridCol w:w="222"/>
        <w:gridCol w:w="222"/>
      </w:tblGrid>
      <w:tr w:rsidR="000551DE" w14:paraId="38C30867" w14:textId="77777777" w:rsidTr="00FC33FC">
        <w:trPr>
          <w:trHeight w:val="285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FE85" w14:textId="1BDA95EA" w:rsidR="000551DE" w:rsidRDefault="000551DE" w:rsidP="00FC33FC">
            <w:r>
              <w:t>Table 1                Pension Members to 3</w:t>
            </w:r>
            <w:r w:rsidR="00C32724">
              <w:t>1</w:t>
            </w:r>
            <w:r>
              <w:t xml:space="preserve"> </w:t>
            </w:r>
            <w:r w:rsidR="00C32724">
              <w:t>December</w:t>
            </w:r>
            <w:r>
              <w:t xml:space="preserve"> 2020</w:t>
            </w:r>
          </w:p>
        </w:tc>
        <w:tc>
          <w:tcPr>
            <w:tcW w:w="0" w:type="auto"/>
          </w:tcPr>
          <w:p w14:paraId="338709F6" w14:textId="77777777" w:rsidR="000551DE" w:rsidRDefault="000551DE" w:rsidP="00FC33FC"/>
        </w:tc>
        <w:tc>
          <w:tcPr>
            <w:tcW w:w="0" w:type="auto"/>
          </w:tcPr>
          <w:p w14:paraId="5E95ED72" w14:textId="77777777" w:rsidR="000551DE" w:rsidRDefault="000551DE" w:rsidP="00FC33FC"/>
        </w:tc>
      </w:tr>
      <w:tr w:rsidR="000551DE" w14:paraId="7E828D5D" w14:textId="77777777" w:rsidTr="00FC33FC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263707" w14:textId="77777777" w:rsidR="000551DE" w:rsidRDefault="000551DE" w:rsidP="00FC33FC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8B1" w14:textId="77777777" w:rsidR="000551DE" w:rsidRDefault="000551DE" w:rsidP="00FC33FC">
            <w:pPr>
              <w:jc w:val="center"/>
            </w:pPr>
            <w:r>
              <w:t>31 March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ACD47" w14:textId="77777777" w:rsidR="000551DE" w:rsidRDefault="000551DE" w:rsidP="00FC33FC">
            <w:pPr>
              <w:jc w:val="center"/>
            </w:pPr>
            <w:r>
              <w:t>31 March 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1E181" w14:textId="77777777" w:rsidR="000551DE" w:rsidRPr="005D34C4" w:rsidRDefault="000551DE" w:rsidP="00FC33FC">
            <w:pPr>
              <w:jc w:val="center"/>
            </w:pPr>
            <w:r w:rsidRPr="005D34C4">
              <w:t>31 March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74E9A" w14:textId="77777777" w:rsidR="00587BBB" w:rsidRDefault="000551DE" w:rsidP="00587BBB">
            <w:pPr>
              <w:jc w:val="center"/>
            </w:pPr>
            <w:r w:rsidRPr="005D34C4">
              <w:t>3</w:t>
            </w:r>
            <w:r>
              <w:t xml:space="preserve">1 </w:t>
            </w:r>
            <w:r w:rsidR="00587BBB">
              <w:t xml:space="preserve">March </w:t>
            </w:r>
          </w:p>
          <w:p w14:paraId="398226E7" w14:textId="562DC9E6" w:rsidR="000551DE" w:rsidRPr="005D34C4" w:rsidRDefault="00587BBB" w:rsidP="00587BBB">
            <w:pPr>
              <w:jc w:val="center"/>
            </w:pPr>
            <w:r>
              <w:t>2021</w:t>
            </w:r>
          </w:p>
        </w:tc>
        <w:tc>
          <w:tcPr>
            <w:tcW w:w="0" w:type="auto"/>
            <w:vAlign w:val="bottom"/>
          </w:tcPr>
          <w:p w14:paraId="511B4395" w14:textId="77777777" w:rsidR="000551DE" w:rsidRDefault="000551DE" w:rsidP="00FC33F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DFC98E7" w14:textId="77777777" w:rsidR="000551DE" w:rsidRDefault="000551DE" w:rsidP="00FC33F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551DE" w14:paraId="767C9BC4" w14:textId="77777777" w:rsidTr="00FC33FC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1761282" w14:textId="77777777" w:rsidR="000551DE" w:rsidRDefault="000551DE" w:rsidP="00FC33F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Pensioners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B0EA74" w14:textId="77777777" w:rsidR="000551DE" w:rsidRDefault="000551DE" w:rsidP="00FC33FC">
            <w:pPr>
              <w:jc w:val="center"/>
            </w:pPr>
            <w:r>
              <w:t>5,760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31F4D43" w14:textId="77777777" w:rsidR="000551DE" w:rsidRDefault="000551DE" w:rsidP="00FC33FC">
            <w:pPr>
              <w:jc w:val="center"/>
            </w:pPr>
            <w:r>
              <w:t>5,795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2E3FD7A" w14:textId="77777777" w:rsidR="000551DE" w:rsidRPr="005D34C4" w:rsidRDefault="000551DE" w:rsidP="00FC33FC">
            <w:pPr>
              <w:jc w:val="center"/>
            </w:pPr>
            <w:r w:rsidRPr="005D34C4"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F7FE7CB" w14:textId="212A6238" w:rsidR="000540FD" w:rsidRPr="005D34C4" w:rsidRDefault="00B77788" w:rsidP="000540FD">
            <w:pPr>
              <w:jc w:val="center"/>
            </w:pPr>
            <w:r>
              <w:t>6,182</w:t>
            </w:r>
          </w:p>
        </w:tc>
        <w:tc>
          <w:tcPr>
            <w:tcW w:w="0" w:type="auto"/>
            <w:vAlign w:val="center"/>
            <w:hideMark/>
          </w:tcPr>
          <w:p w14:paraId="78EC329B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5E58AD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0551DE" w14:paraId="02BA9211" w14:textId="77777777" w:rsidTr="00FC33FC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70B3E1" w14:textId="77777777" w:rsidR="000551DE" w:rsidRDefault="000551DE" w:rsidP="00FC33F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Deferred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B17402" w14:textId="77777777" w:rsidR="000551DE" w:rsidRDefault="000551DE" w:rsidP="00FC33FC">
            <w:pPr>
              <w:jc w:val="center"/>
            </w:pPr>
            <w:r>
              <w:t>7,115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BC768D" w14:textId="77777777" w:rsidR="000551DE" w:rsidRDefault="000551DE" w:rsidP="00FC33FC">
            <w:pPr>
              <w:jc w:val="center"/>
            </w:pPr>
            <w:r>
              <w:t>6,966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1CC296" w14:textId="77777777" w:rsidR="000551DE" w:rsidRPr="005D34C4" w:rsidRDefault="000551DE" w:rsidP="00FC33FC">
            <w:pPr>
              <w:jc w:val="center"/>
            </w:pPr>
            <w:r w:rsidRPr="005D34C4">
              <w:t>7,037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C61B349" w14:textId="0614FAA1" w:rsidR="000551DE" w:rsidRPr="005D34C4" w:rsidRDefault="00B77788" w:rsidP="00FC33FC">
            <w:pPr>
              <w:jc w:val="center"/>
            </w:pPr>
            <w:r>
              <w:t>6,985</w:t>
            </w:r>
          </w:p>
        </w:tc>
        <w:tc>
          <w:tcPr>
            <w:tcW w:w="0" w:type="auto"/>
            <w:vAlign w:val="center"/>
            <w:hideMark/>
          </w:tcPr>
          <w:p w14:paraId="3B27B33D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13FC14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0551DE" w14:paraId="01E6D08E" w14:textId="77777777" w:rsidTr="00FC33FC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A8240F6" w14:textId="77777777" w:rsidR="000551DE" w:rsidRDefault="000551DE" w:rsidP="00FC33F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Active Members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02EC59" w14:textId="77777777" w:rsidR="000551DE" w:rsidRDefault="000551DE" w:rsidP="00FC33FC">
            <w:pPr>
              <w:jc w:val="center"/>
            </w:pPr>
            <w:r>
              <w:t>5,557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31C7AE" w14:textId="77777777" w:rsidR="000551DE" w:rsidRDefault="000551DE" w:rsidP="00FC33FC">
            <w:pPr>
              <w:jc w:val="center"/>
            </w:pPr>
            <w:r>
              <w:t>5,400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1C644A4" w14:textId="77777777" w:rsidR="000551DE" w:rsidRPr="005D34C4" w:rsidRDefault="000551DE" w:rsidP="00FC33FC">
            <w:pPr>
              <w:jc w:val="center"/>
            </w:pPr>
            <w:r w:rsidRPr="005D34C4">
              <w:t>5,410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E441DAC" w14:textId="79502DCF" w:rsidR="000551DE" w:rsidRPr="005D34C4" w:rsidRDefault="00B77788" w:rsidP="00FC33FC">
            <w:pPr>
              <w:jc w:val="center"/>
            </w:pPr>
            <w:r>
              <w:t>5,410</w:t>
            </w:r>
          </w:p>
        </w:tc>
        <w:tc>
          <w:tcPr>
            <w:tcW w:w="0" w:type="auto"/>
            <w:vAlign w:val="center"/>
            <w:hideMark/>
          </w:tcPr>
          <w:p w14:paraId="26331E03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131A5B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0551DE" w14:paraId="2979C33B" w14:textId="77777777" w:rsidTr="00FC33FC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EDB939B" w14:textId="77777777" w:rsidR="000551DE" w:rsidRDefault="000551DE" w:rsidP="00FC33F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% Active Members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67BF" w14:textId="77777777" w:rsidR="000551DE" w:rsidRDefault="000551DE" w:rsidP="00FC33FC">
            <w:pPr>
              <w:jc w:val="center"/>
            </w:pPr>
            <w:r>
              <w:t>30.1%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ACAFA" w14:textId="77777777" w:rsidR="000551DE" w:rsidRDefault="000551DE" w:rsidP="00FC33FC">
            <w:pPr>
              <w:jc w:val="center"/>
            </w:pPr>
            <w:r>
              <w:t>29.7%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A252" w14:textId="77777777" w:rsidR="000551DE" w:rsidRPr="005D34C4" w:rsidRDefault="000551DE" w:rsidP="00FC33FC">
            <w:pPr>
              <w:jc w:val="center"/>
            </w:pPr>
            <w:r w:rsidRPr="005D34C4">
              <w:t>29.3%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52B43" w14:textId="51C05005" w:rsidR="000551DE" w:rsidRPr="005D34C4" w:rsidRDefault="00B77788" w:rsidP="00FC33FC">
            <w:pPr>
              <w:jc w:val="center"/>
            </w:pPr>
            <w:r>
              <w:t>29.1%</w:t>
            </w:r>
          </w:p>
        </w:tc>
        <w:tc>
          <w:tcPr>
            <w:tcW w:w="0" w:type="auto"/>
            <w:vAlign w:val="center"/>
            <w:hideMark/>
          </w:tcPr>
          <w:p w14:paraId="1FA96C67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B074B3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0551DE" w14:paraId="790510D5" w14:textId="77777777" w:rsidTr="00FC33FC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F437DDC" w14:textId="77777777" w:rsidR="000551DE" w:rsidRDefault="000551DE" w:rsidP="00FC33F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2915" w14:textId="77777777" w:rsidR="000551DE" w:rsidRDefault="000551DE" w:rsidP="00FC33FC">
            <w:pPr>
              <w:jc w:val="center"/>
            </w:pPr>
            <w:r>
              <w:t>18,432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4BB09" w14:textId="77777777" w:rsidR="000551DE" w:rsidRDefault="000551DE" w:rsidP="00FC33FC">
            <w:pPr>
              <w:jc w:val="center"/>
            </w:pPr>
            <w:r>
              <w:t>18,161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808C9" w14:textId="77777777" w:rsidR="000551DE" w:rsidRPr="005D34C4" w:rsidRDefault="000551DE" w:rsidP="00FC33FC">
            <w:pPr>
              <w:jc w:val="center"/>
            </w:pPr>
            <w:r w:rsidRPr="005D34C4">
              <w:t>18,451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C98F" w14:textId="730287B8" w:rsidR="000551DE" w:rsidRPr="005D34C4" w:rsidRDefault="00B77788" w:rsidP="00FC33FC">
            <w:pPr>
              <w:jc w:val="center"/>
            </w:pPr>
            <w:r>
              <w:t>18.577</w:t>
            </w:r>
          </w:p>
        </w:tc>
        <w:tc>
          <w:tcPr>
            <w:tcW w:w="0" w:type="auto"/>
            <w:vAlign w:val="center"/>
            <w:hideMark/>
          </w:tcPr>
          <w:p w14:paraId="1D0231D1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3DE19C" w14:textId="77777777" w:rsidR="000551DE" w:rsidRDefault="000551DE" w:rsidP="00FC33FC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428F9EEB" w14:textId="77777777" w:rsidR="000551DE" w:rsidRDefault="000551DE" w:rsidP="000551DE">
      <w:pPr>
        <w:ind w:left="720"/>
        <w:jc w:val="both"/>
      </w:pPr>
    </w:p>
    <w:p w14:paraId="7336C420" w14:textId="77777777" w:rsidR="000551DE" w:rsidRDefault="000551DE" w:rsidP="000551DE">
      <w:pPr>
        <w:ind w:left="284" w:hanging="284"/>
        <w:jc w:val="both"/>
        <w:rPr>
          <w:b/>
        </w:rPr>
      </w:pPr>
      <w:r>
        <w:rPr>
          <w:b/>
        </w:rPr>
        <w:t>Requirement to Report Breaches of Law</w:t>
      </w:r>
    </w:p>
    <w:p w14:paraId="48B9B877" w14:textId="77777777" w:rsidR="000551DE" w:rsidRDefault="000551DE" w:rsidP="000551DE">
      <w:pPr>
        <w:jc w:val="both"/>
      </w:pPr>
    </w:p>
    <w:p w14:paraId="5A0D62A2" w14:textId="1DBDE4B6" w:rsidR="000551DE" w:rsidRDefault="000551DE" w:rsidP="000551DE">
      <w:pPr>
        <w:numPr>
          <w:ilvl w:val="0"/>
          <w:numId w:val="16"/>
        </w:numPr>
        <w:jc w:val="both"/>
      </w:pPr>
      <w:r>
        <w:t>The</w:t>
      </w:r>
      <w:r w:rsidR="00C175FB">
        <w:t xml:space="preserve"> </w:t>
      </w:r>
      <w:r>
        <w:t>Pension Board reviewed the breaches in law policy and breaches reporting procedure at its meeting on 20</w:t>
      </w:r>
      <w:r w:rsidRPr="000551DE">
        <w:rPr>
          <w:vertAlign w:val="superscript"/>
        </w:rPr>
        <w:t>th</w:t>
      </w:r>
      <w:r>
        <w:t xml:space="preserve"> September 2018.</w:t>
      </w:r>
    </w:p>
    <w:p w14:paraId="496812B9" w14:textId="77777777" w:rsidR="000551DE" w:rsidRDefault="000551DE" w:rsidP="000551DE">
      <w:pPr>
        <w:ind w:left="720"/>
        <w:jc w:val="both"/>
      </w:pPr>
    </w:p>
    <w:p w14:paraId="2F623CE9" w14:textId="69016BE0" w:rsidR="000551DE" w:rsidRDefault="000551DE" w:rsidP="000551DE">
      <w:pPr>
        <w:numPr>
          <w:ilvl w:val="0"/>
          <w:numId w:val="16"/>
        </w:numPr>
        <w:jc w:val="both"/>
      </w:pPr>
      <w:r w:rsidRPr="00131DA9">
        <w:t xml:space="preserve">There have been no known breaches of law in </w:t>
      </w:r>
      <w:r w:rsidR="00587BBB">
        <w:t xml:space="preserve">2020-21 or in </w:t>
      </w:r>
      <w:r w:rsidRPr="00131DA9">
        <w:t>the current financial year</w:t>
      </w:r>
      <w:r>
        <w:t xml:space="preserve"> </w:t>
      </w:r>
      <w:r w:rsidRPr="00131DA9">
        <w:t>to date.</w:t>
      </w:r>
    </w:p>
    <w:p w14:paraId="669B835F" w14:textId="77777777" w:rsidR="000551DE" w:rsidRDefault="000551DE" w:rsidP="000551DE">
      <w:pPr>
        <w:pStyle w:val="ListParagraph"/>
      </w:pPr>
    </w:p>
    <w:p w14:paraId="370E51AE" w14:textId="77777777" w:rsidR="000551DE" w:rsidRPr="000551DE" w:rsidRDefault="000551DE" w:rsidP="000551DE">
      <w:pPr>
        <w:rPr>
          <w:b/>
        </w:rPr>
      </w:pPr>
      <w:r w:rsidRPr="000551DE">
        <w:rPr>
          <w:b/>
        </w:rPr>
        <w:t>Internal Disputes Cases and Complaints</w:t>
      </w:r>
    </w:p>
    <w:p w14:paraId="04C076D5" w14:textId="5A402765" w:rsidR="000551DE" w:rsidRDefault="000551DE" w:rsidP="000551DE">
      <w:pPr>
        <w:jc w:val="both"/>
      </w:pPr>
    </w:p>
    <w:p w14:paraId="2989B140" w14:textId="6486D66D" w:rsidR="00C175FB" w:rsidRDefault="00C175FB" w:rsidP="00066A9F">
      <w:pPr>
        <w:numPr>
          <w:ilvl w:val="0"/>
          <w:numId w:val="16"/>
        </w:numPr>
        <w:jc w:val="both"/>
      </w:pPr>
      <w:r w:rsidRPr="00131DA9">
        <w:t>No internal disputes or complaints have been raised</w:t>
      </w:r>
      <w:r w:rsidR="00587BBB">
        <w:t xml:space="preserve"> since the previous report.</w:t>
      </w:r>
    </w:p>
    <w:p w14:paraId="4A1CCCBC" w14:textId="77777777" w:rsidR="00C175FB" w:rsidRDefault="00C175FB" w:rsidP="00C175FB">
      <w:pPr>
        <w:pStyle w:val="ListParagraph"/>
      </w:pPr>
    </w:p>
    <w:p w14:paraId="62FAC9CE" w14:textId="69671947" w:rsidR="00C175FB" w:rsidRDefault="00587BBB" w:rsidP="00C175FB">
      <w:pPr>
        <w:numPr>
          <w:ilvl w:val="0"/>
          <w:numId w:val="16"/>
        </w:numPr>
        <w:jc w:val="both"/>
      </w:pPr>
      <w:r>
        <w:t xml:space="preserve">As reported to the Board’s previous meeting, </w:t>
      </w:r>
      <w:r w:rsidR="00C175FB">
        <w:t>one complaint to the Pensions Ombudsman was received in December 2020. A response was sent to the Ombudsman in January 2021</w:t>
      </w:r>
      <w:r>
        <w:t>.</w:t>
      </w:r>
      <w:r w:rsidR="00C175FB">
        <w:t xml:space="preserve"> </w:t>
      </w:r>
      <w:r w:rsidR="00C32724">
        <w:t>This complaint related to a decision regarding ill health retirement taken in 2017 and followed a stage 2 appeal which was received and determined early in 2020.</w:t>
      </w:r>
      <w:r>
        <w:t xml:space="preserve"> The Ombudsman’s decision is still awaited.</w:t>
      </w:r>
    </w:p>
    <w:p w14:paraId="604F6EF5" w14:textId="77777777" w:rsidR="000551DE" w:rsidRDefault="000551DE" w:rsidP="000551DE">
      <w:pPr>
        <w:ind w:left="720"/>
        <w:jc w:val="both"/>
      </w:pPr>
    </w:p>
    <w:p w14:paraId="724CCAFE" w14:textId="77777777" w:rsidR="000551DE" w:rsidRPr="000551DE" w:rsidRDefault="000551DE" w:rsidP="000551DE">
      <w:pPr>
        <w:jc w:val="both"/>
        <w:rPr>
          <w:b/>
        </w:rPr>
      </w:pPr>
      <w:r w:rsidRPr="000551DE">
        <w:rPr>
          <w:b/>
        </w:rPr>
        <w:t xml:space="preserve">Payment of Employer Contributions </w:t>
      </w:r>
    </w:p>
    <w:p w14:paraId="357F3D50" w14:textId="77777777" w:rsidR="00BE75CB" w:rsidRDefault="00BE75CB" w:rsidP="000551DE">
      <w:pPr>
        <w:jc w:val="both"/>
      </w:pPr>
    </w:p>
    <w:p w14:paraId="004A0A77" w14:textId="7BD5DD81" w:rsidR="000551DE" w:rsidRDefault="000551DE" w:rsidP="00BE75CB">
      <w:pPr>
        <w:numPr>
          <w:ilvl w:val="0"/>
          <w:numId w:val="16"/>
        </w:numPr>
        <w:jc w:val="both"/>
      </w:pPr>
      <w:r w:rsidRPr="00A91B94">
        <w:t>Employer contributions are required to be paid in arrears by the 19</w:t>
      </w:r>
      <w:r w:rsidRPr="00A91B94">
        <w:rPr>
          <w:vertAlign w:val="superscript"/>
        </w:rPr>
        <w:t>th</w:t>
      </w:r>
      <w:r w:rsidRPr="00A91B94">
        <w:t xml:space="preserve"> of each month.  All employer contributions </w:t>
      </w:r>
      <w:r w:rsidR="00587BBB">
        <w:t xml:space="preserve">were </w:t>
      </w:r>
      <w:r w:rsidRPr="00A91B94">
        <w:t>paid on time in</w:t>
      </w:r>
      <w:r w:rsidR="00587BBB">
        <w:t xml:space="preserve"> 2020-21 and in</w:t>
      </w:r>
      <w:r w:rsidRPr="00A91B94">
        <w:t xml:space="preserve"> the year to date. Employers are contacted if payment has not been received by the due date</w:t>
      </w:r>
      <w:r>
        <w:t>.</w:t>
      </w:r>
    </w:p>
    <w:p w14:paraId="02CD1402" w14:textId="77777777" w:rsidR="00443912" w:rsidRDefault="00443912" w:rsidP="00443912">
      <w:pPr>
        <w:ind w:left="720"/>
        <w:jc w:val="both"/>
      </w:pPr>
    </w:p>
    <w:p w14:paraId="46DEF8DE" w14:textId="2B1F93D4" w:rsidR="00443912" w:rsidRDefault="00443912" w:rsidP="00443912">
      <w:pPr>
        <w:jc w:val="both"/>
        <w:rPr>
          <w:b/>
          <w:bCs/>
        </w:rPr>
      </w:pPr>
      <w:r w:rsidRPr="00443912">
        <w:rPr>
          <w:b/>
          <w:bCs/>
        </w:rPr>
        <w:t>Update</w:t>
      </w:r>
      <w:r w:rsidR="00F13423">
        <w:rPr>
          <w:b/>
          <w:bCs/>
        </w:rPr>
        <w:t xml:space="preserve"> on Legislation Changes (</w:t>
      </w:r>
      <w:r w:rsidR="00F13423" w:rsidRPr="00443912">
        <w:rPr>
          <w:b/>
          <w:bCs/>
        </w:rPr>
        <w:t>McCloud</w:t>
      </w:r>
      <w:r w:rsidR="007F1D9E">
        <w:rPr>
          <w:b/>
          <w:bCs/>
        </w:rPr>
        <w:t xml:space="preserve"> and Exit Cap</w:t>
      </w:r>
      <w:r w:rsidR="00F13423">
        <w:rPr>
          <w:b/>
          <w:bCs/>
        </w:rPr>
        <w:t>)</w:t>
      </w:r>
    </w:p>
    <w:p w14:paraId="6179E8E0" w14:textId="77777777" w:rsidR="00443912" w:rsidRPr="00443912" w:rsidRDefault="00443912" w:rsidP="00443912">
      <w:pPr>
        <w:jc w:val="both"/>
        <w:rPr>
          <w:b/>
          <w:bCs/>
        </w:rPr>
      </w:pPr>
    </w:p>
    <w:p w14:paraId="6C5BB1FC" w14:textId="527C6B55" w:rsidR="00B77788" w:rsidRDefault="002C0432" w:rsidP="00BE75CB">
      <w:pPr>
        <w:numPr>
          <w:ilvl w:val="0"/>
          <w:numId w:val="16"/>
        </w:numPr>
        <w:jc w:val="both"/>
      </w:pPr>
      <w:r>
        <w:t xml:space="preserve"> </w:t>
      </w:r>
      <w:r w:rsidR="00D264C1">
        <w:t xml:space="preserve">The most recent ministerial announcement, on 13 May 2021, </w:t>
      </w:r>
      <w:hyperlink r:id="rId8" w:history="1">
        <w:r w:rsidR="00D264C1" w:rsidRPr="00053129">
          <w:rPr>
            <w:rStyle w:val="Hyperlink"/>
          </w:rPr>
          <w:t>https://questions-statements.parliament.uk/written-statements/detail/2021-05-13/hcws26</w:t>
        </w:r>
      </w:hyperlink>
      <w:r w:rsidR="00D264C1">
        <w:t xml:space="preserve"> sets out the broad principles which the Government intends to apply in implementing the judgement in the LGPS. However, it indicates that legislation will not be implemented until 1 April 2023.  </w:t>
      </w:r>
      <w:r>
        <w:t xml:space="preserve"> </w:t>
      </w:r>
      <w:r w:rsidR="00B77788">
        <w:t>Once there is some certainty regarding the structure of the new Regulations, the LGPS software providers will be able to make the necessary changes.</w:t>
      </w:r>
    </w:p>
    <w:p w14:paraId="57D8E2B5" w14:textId="77777777" w:rsidR="00B77788" w:rsidRDefault="00B77788" w:rsidP="00B77788">
      <w:pPr>
        <w:ind w:left="720"/>
        <w:jc w:val="both"/>
      </w:pPr>
    </w:p>
    <w:p w14:paraId="19658E5C" w14:textId="20EF93D9" w:rsidR="002C0432" w:rsidRDefault="002C0432" w:rsidP="00BE75CB">
      <w:pPr>
        <w:numPr>
          <w:ilvl w:val="0"/>
          <w:numId w:val="16"/>
        </w:numPr>
        <w:jc w:val="both"/>
      </w:pPr>
      <w:r>
        <w:lastRenderedPageBreak/>
        <w:t xml:space="preserve">However, work has begun to validate and where necessary to collect the data from employers. To </w:t>
      </w:r>
      <w:r w:rsidR="00D264C1">
        <w:t>complete</w:t>
      </w:r>
      <w:r>
        <w:t xml:space="preserve"> this task Aquila Heywood are providing additional resource and assistance</w:t>
      </w:r>
      <w:r w:rsidR="00B77788">
        <w:t xml:space="preserve"> to the Team</w:t>
      </w:r>
      <w:r>
        <w:t xml:space="preserve">. </w:t>
      </w:r>
    </w:p>
    <w:p w14:paraId="6F4F7758" w14:textId="77777777" w:rsidR="00B77788" w:rsidRDefault="00B77788" w:rsidP="00B77788">
      <w:pPr>
        <w:pStyle w:val="ListParagraph"/>
      </w:pPr>
    </w:p>
    <w:p w14:paraId="5CCAE8BD" w14:textId="3D0C15E5" w:rsidR="00B77788" w:rsidRDefault="00B77788" w:rsidP="00BE75CB">
      <w:pPr>
        <w:numPr>
          <w:ilvl w:val="0"/>
          <w:numId w:val="16"/>
        </w:numPr>
        <w:jc w:val="both"/>
      </w:pPr>
      <w:r>
        <w:t xml:space="preserve">As reported to the last meeting, the “Exit Cap” Regulations were repealed in February 2021, and that </w:t>
      </w:r>
      <w:r w:rsidR="00294964">
        <w:t>measures to achieve this would be implemented later in 2021. On 28</w:t>
      </w:r>
      <w:r w:rsidR="00294964" w:rsidRPr="00294964">
        <w:rPr>
          <w:vertAlign w:val="superscript"/>
        </w:rPr>
        <w:t>th</w:t>
      </w:r>
      <w:r w:rsidR="00294964">
        <w:t xml:space="preserve"> May, The Government has issued Guidance on “Special Severance payments” to the rest of the public sector. A consultation in respect of the LGPS is expected shortly. </w:t>
      </w:r>
    </w:p>
    <w:p w14:paraId="325337C5" w14:textId="7D95E684" w:rsidR="00443912" w:rsidRDefault="00D264C1" w:rsidP="00D264C1">
      <w:pPr>
        <w:jc w:val="both"/>
      </w:pPr>
      <w:r>
        <w:t xml:space="preserve"> </w:t>
      </w:r>
    </w:p>
    <w:p w14:paraId="56276322" w14:textId="3D8F3E88" w:rsidR="00443912" w:rsidRDefault="00443912" w:rsidP="00443912">
      <w:pPr>
        <w:jc w:val="both"/>
        <w:rPr>
          <w:b/>
          <w:bCs/>
        </w:rPr>
      </w:pPr>
      <w:r w:rsidRPr="00443912">
        <w:rPr>
          <w:b/>
          <w:bCs/>
        </w:rPr>
        <w:t>Other Matters</w:t>
      </w:r>
    </w:p>
    <w:p w14:paraId="3B5EC990" w14:textId="77777777" w:rsidR="00443912" w:rsidRPr="00443912" w:rsidRDefault="00443912" w:rsidP="00443912">
      <w:pPr>
        <w:jc w:val="both"/>
        <w:rPr>
          <w:b/>
          <w:bCs/>
        </w:rPr>
      </w:pPr>
    </w:p>
    <w:p w14:paraId="095B376F" w14:textId="569AA10F" w:rsidR="00443912" w:rsidRDefault="002B4AF4" w:rsidP="00BE75CB">
      <w:pPr>
        <w:numPr>
          <w:ilvl w:val="0"/>
          <w:numId w:val="16"/>
        </w:numPr>
        <w:jc w:val="both"/>
      </w:pPr>
      <w:r>
        <w:t xml:space="preserve">The Pensions Team Leader, Lesley Freebody, has retired with effect from 30 June 2021. At the time of writing this report a recruitment process is underway, and we expect to be </w:t>
      </w:r>
      <w:proofErr w:type="gramStart"/>
      <w:r>
        <w:t>in a position</w:t>
      </w:r>
      <w:proofErr w:type="gramEnd"/>
      <w:r>
        <w:t xml:space="preserve"> to advise on a successful outcome by the time of the Board’s meeting.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56739B89" w14:textId="77777777" w:rsidR="006B5B52" w:rsidRDefault="006B5B52" w:rsidP="006B5B52">
      <w:pPr>
        <w:pStyle w:val="ListParagraph"/>
      </w:pPr>
    </w:p>
    <w:p w14:paraId="1AE22C2D" w14:textId="2C4DD139" w:rsidR="006B5B52" w:rsidRDefault="00FF5D5C" w:rsidP="000E1E98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2B4AF4" w:rsidRPr="00C55540">
        <w:rPr>
          <w:szCs w:val="24"/>
        </w:rPr>
        <w:t>There are no direct legal implications arising from this report</w:t>
      </w:r>
      <w:r w:rsidR="002B4AF4">
        <w:rPr>
          <w:szCs w:val="24"/>
        </w:rPr>
        <w:t>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2CA06A9" w14:textId="3E7BCA1E" w:rsidR="006B5B52" w:rsidRPr="006B5B52" w:rsidRDefault="00FF5D5C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The</w:t>
      </w:r>
      <w:r w:rsidR="002B4AF4">
        <w:rPr>
          <w:szCs w:val="24"/>
          <w:lang w:val="en-US"/>
        </w:rPr>
        <w:t>re will be a cost of engaging Aquila Heywood to assist in the collection of employer data in readiness to implement fully the Mc</w:t>
      </w:r>
      <w:r w:rsidR="00294964">
        <w:rPr>
          <w:szCs w:val="24"/>
          <w:lang w:val="en-US"/>
        </w:rPr>
        <w:t>C</w:t>
      </w:r>
      <w:r w:rsidR="002B4AF4">
        <w:rPr>
          <w:szCs w:val="24"/>
          <w:lang w:val="en-US"/>
        </w:rPr>
        <w:t xml:space="preserve">loud Judgement when the new Regulations become available. This cost will </w:t>
      </w:r>
      <w:r>
        <w:rPr>
          <w:szCs w:val="24"/>
          <w:lang w:val="en-US"/>
        </w:rPr>
        <w:t>be met from the Pension Fund.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4C949C7A" w14:textId="77777777" w:rsidR="002B4AF4" w:rsidRPr="003F5AF9" w:rsidRDefault="002B4AF4" w:rsidP="002B4AF4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690F76">
        <w:t xml:space="preserve">The Pension Fund’s Risk Register is reviewed regularly by both </w:t>
      </w:r>
      <w:r>
        <w:t xml:space="preserve">the Pension Fund </w:t>
      </w:r>
      <w:r w:rsidRPr="00690F76">
        <w:t xml:space="preserve">Committee and by the Board. </w:t>
      </w:r>
      <w:r>
        <w:t xml:space="preserve">The latest review is considered elsewhere on this agenda. </w:t>
      </w:r>
    </w:p>
    <w:p w14:paraId="7C43BF78" w14:textId="77777777" w:rsidR="002B4AF4" w:rsidRPr="003F5AF9" w:rsidRDefault="002B4AF4" w:rsidP="002B4AF4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462D9ECD" w14:textId="0DD1887F" w:rsidR="006B5B52" w:rsidRPr="00C55540" w:rsidRDefault="002B4AF4" w:rsidP="002B4AF4">
      <w:pPr>
        <w:numPr>
          <w:ilvl w:val="0"/>
          <w:numId w:val="16"/>
        </w:numPr>
        <w:jc w:val="both"/>
      </w:pPr>
      <w:r w:rsidRPr="00690F76">
        <w:t>There are no specific risk management implications arising from this report</w:t>
      </w:r>
      <w:r>
        <w:t>.</w:t>
      </w:r>
      <w:r w:rsidR="005D3267">
        <w:t xml:space="preserve"> 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58A054A4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equalities implications arising from this report</w:t>
      </w:r>
      <w:r w:rsidR="002B4AF4">
        <w:rPr>
          <w:szCs w:val="24"/>
        </w:rPr>
        <w:t>, although as the Committee is aware, the Mc</w:t>
      </w:r>
      <w:r w:rsidR="00294964">
        <w:rPr>
          <w:szCs w:val="24"/>
        </w:rPr>
        <w:t>C</w:t>
      </w:r>
      <w:r w:rsidR="002B4AF4">
        <w:rPr>
          <w:szCs w:val="24"/>
        </w:rPr>
        <w:t>loud Judgement ar</w:t>
      </w:r>
      <w:r w:rsidR="00294964">
        <w:rPr>
          <w:szCs w:val="24"/>
        </w:rPr>
        <w:t>ose</w:t>
      </w:r>
      <w:r w:rsidR="002B4AF4">
        <w:rPr>
          <w:szCs w:val="24"/>
        </w:rPr>
        <w:t xml:space="preserve"> f</w:t>
      </w:r>
      <w:r w:rsidR="00294964">
        <w:rPr>
          <w:szCs w:val="24"/>
        </w:rPr>
        <w:t>r</w:t>
      </w:r>
      <w:r w:rsidR="002B4AF4">
        <w:rPr>
          <w:szCs w:val="24"/>
        </w:rPr>
        <w:t xml:space="preserve">om </w:t>
      </w:r>
      <w:proofErr w:type="gramStart"/>
      <w:r w:rsidR="002B4AF4">
        <w:rPr>
          <w:szCs w:val="24"/>
        </w:rPr>
        <w:t>a</w:t>
      </w:r>
      <w:proofErr w:type="gramEnd"/>
      <w:r w:rsidR="002B4AF4">
        <w:rPr>
          <w:szCs w:val="24"/>
        </w:rPr>
        <w:t xml:space="preserve"> Equalities Claim</w:t>
      </w:r>
      <w:r w:rsidR="00294964">
        <w:rPr>
          <w:szCs w:val="24"/>
        </w:rPr>
        <w:t xml:space="preserve"> against another public sector pension scheme</w:t>
      </w:r>
      <w:r w:rsidR="002B4AF4">
        <w:rPr>
          <w:szCs w:val="24"/>
        </w:rPr>
        <w:t>.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lastRenderedPageBreak/>
        <w:t xml:space="preserve">Council </w:t>
      </w:r>
      <w:r w:rsidRPr="00CD57D8">
        <w:t>Priorities</w:t>
      </w:r>
    </w:p>
    <w:p w14:paraId="270E4104" w14:textId="35D48DA4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364AA884" w14:textId="153CBF26" w:rsidR="00443912" w:rsidRDefault="00443912" w:rsidP="00443912">
      <w:pPr>
        <w:ind w:left="360"/>
        <w:rPr>
          <w:szCs w:val="24"/>
          <w:lang w:val="en-US"/>
        </w:rPr>
      </w:pP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1219184C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BE0E66">
        <w:rPr>
          <w:b/>
          <w:sz w:val="28"/>
        </w:rPr>
        <w:t>Dawn Calvert</w:t>
      </w:r>
    </w:p>
    <w:p w14:paraId="57640BD9" w14:textId="39987006" w:rsidR="00912904" w:rsidRPr="00A66326" w:rsidRDefault="00912904" w:rsidP="00912904">
      <w:r w:rsidRPr="00A66326">
        <w:t>Signed by the Chief Financial Officer</w:t>
      </w:r>
    </w:p>
    <w:p w14:paraId="5745A2E3" w14:textId="7D3BEC2D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BE0E66">
        <w:rPr>
          <w:b/>
          <w:sz w:val="28"/>
        </w:rPr>
        <w:t>21/06/2021</w:t>
      </w:r>
    </w:p>
    <w:p w14:paraId="2586CC50" w14:textId="068A6C58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BE0E66">
        <w:rPr>
          <w:b/>
          <w:sz w:val="28"/>
        </w:rPr>
        <w:t xml:space="preserve">Caroline Eccles </w:t>
      </w:r>
    </w:p>
    <w:p w14:paraId="3F58D77A" w14:textId="1104797B" w:rsidR="00912904" w:rsidRPr="00A66326" w:rsidRDefault="00912904" w:rsidP="00912904">
      <w:r w:rsidRPr="00A66326">
        <w:t>Signed on behalf of the Monitoring Officer</w:t>
      </w:r>
    </w:p>
    <w:p w14:paraId="61F8C7E6" w14:textId="0F432269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BE0E66">
        <w:rPr>
          <w:b/>
          <w:sz w:val="28"/>
        </w:rPr>
        <w:t>22/06/2021</w:t>
      </w:r>
    </w:p>
    <w:p w14:paraId="2019A53D" w14:textId="0B15A1E0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F07376">
        <w:rPr>
          <w:b/>
          <w:sz w:val="28"/>
        </w:rPr>
        <w:t>Charlie Stewart</w:t>
      </w:r>
    </w:p>
    <w:p w14:paraId="12E4D11B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21482980" w14:textId="3FF34352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07376">
        <w:rPr>
          <w:b/>
          <w:sz w:val="28"/>
        </w:rPr>
        <w:t>22/06/2021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698E6A4D" w:rsidR="00912904" w:rsidRPr="00E444DF" w:rsidRDefault="00912904" w:rsidP="00C55540">
      <w:pPr>
        <w:pStyle w:val="Heading3"/>
        <w:ind w:left="0" w:firstLine="0"/>
        <w:rPr>
          <w:b w:val="0"/>
          <w:bCs w:val="0"/>
          <w:i/>
          <w:color w:val="FF0000"/>
          <w:szCs w:val="24"/>
        </w:rPr>
      </w:pPr>
      <w:r w:rsidRPr="00E90AFF">
        <w:rPr>
          <w:sz w:val="28"/>
        </w:rPr>
        <w:t xml:space="preserve">Ward Councillors notified:  </w:t>
      </w:r>
      <w:r w:rsidRPr="00E444DF">
        <w:rPr>
          <w:b w:val="0"/>
          <w:bCs w:val="0"/>
          <w:sz w:val="28"/>
        </w:rPr>
        <w:t>N</w:t>
      </w:r>
      <w:r w:rsidR="00367CCA" w:rsidRPr="00E444DF">
        <w:rPr>
          <w:b w:val="0"/>
          <w:bCs w:val="0"/>
          <w:sz w:val="28"/>
        </w:rPr>
        <w:t>ot Applicable</w:t>
      </w:r>
      <w:bookmarkStart w:id="0" w:name="_GoBack"/>
      <w:bookmarkEnd w:id="0"/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3D6D20A2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DD6270">
        <w:rPr>
          <w:sz w:val="24"/>
          <w:szCs w:val="24"/>
        </w:rPr>
        <w:t>Manager</w:t>
      </w:r>
    </w:p>
    <w:p w14:paraId="1C4BF2D4" w14:textId="6F1CF3B9" w:rsidR="002A2389" w:rsidRDefault="00C55540" w:rsidP="00C55540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9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44BEEA4E" w14:textId="54691BB4" w:rsidR="00DD6270" w:rsidRPr="00DD6270" w:rsidRDefault="00DD6270" w:rsidP="00C55540">
      <w:pPr>
        <w:pStyle w:val="Infotext"/>
      </w:pPr>
      <w:r w:rsidRPr="00DD6270">
        <w:rPr>
          <w:rStyle w:val="Hyperlink"/>
          <w:color w:val="auto"/>
          <w:sz w:val="24"/>
          <w:szCs w:val="24"/>
          <w:u w:val="none"/>
        </w:rPr>
        <w:t>Telephone 020 8</w:t>
      </w:r>
      <w:r>
        <w:rPr>
          <w:rStyle w:val="Hyperlink"/>
          <w:color w:val="auto"/>
          <w:sz w:val="24"/>
          <w:szCs w:val="24"/>
          <w:u w:val="none"/>
        </w:rPr>
        <w:t>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0A21" w14:textId="77777777" w:rsidR="00676403" w:rsidRDefault="00676403">
      <w:r>
        <w:separator/>
      </w:r>
    </w:p>
  </w:endnote>
  <w:endnote w:type="continuationSeparator" w:id="0">
    <w:p w14:paraId="2E484250" w14:textId="77777777" w:rsidR="00676403" w:rsidRDefault="0067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F066" w14:textId="77777777" w:rsidR="00676403" w:rsidRDefault="00676403">
      <w:r>
        <w:separator/>
      </w:r>
    </w:p>
  </w:footnote>
  <w:footnote w:type="continuationSeparator" w:id="0">
    <w:p w14:paraId="508AA657" w14:textId="77777777" w:rsidR="00676403" w:rsidRDefault="0067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ABC"/>
    <w:multiLevelType w:val="multilevel"/>
    <w:tmpl w:val="52C49370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0C65"/>
    <w:multiLevelType w:val="hybridMultilevel"/>
    <w:tmpl w:val="41166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9078B"/>
    <w:multiLevelType w:val="hybridMultilevel"/>
    <w:tmpl w:val="1AAA5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C208A"/>
    <w:multiLevelType w:val="hybridMultilevel"/>
    <w:tmpl w:val="ED6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22"/>
  </w:num>
  <w:num w:numId="12">
    <w:abstractNumId w:val="16"/>
  </w:num>
  <w:num w:numId="13">
    <w:abstractNumId w:val="2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9"/>
  </w:num>
  <w:num w:numId="19">
    <w:abstractNumId w:val="11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40FD"/>
    <w:rsid w:val="000551DE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C6F48"/>
    <w:rsid w:val="001D5E83"/>
    <w:rsid w:val="001E0219"/>
    <w:rsid w:val="002076EC"/>
    <w:rsid w:val="00213BE7"/>
    <w:rsid w:val="00231A1D"/>
    <w:rsid w:val="00244120"/>
    <w:rsid w:val="00293F9F"/>
    <w:rsid w:val="00294964"/>
    <w:rsid w:val="002A2389"/>
    <w:rsid w:val="002A2C3A"/>
    <w:rsid w:val="002B4AF4"/>
    <w:rsid w:val="002C0432"/>
    <w:rsid w:val="002C08E2"/>
    <w:rsid w:val="002C1794"/>
    <w:rsid w:val="002D2FC5"/>
    <w:rsid w:val="002E6637"/>
    <w:rsid w:val="002E77E3"/>
    <w:rsid w:val="00332947"/>
    <w:rsid w:val="00333EB4"/>
    <w:rsid w:val="00345915"/>
    <w:rsid w:val="00365D29"/>
    <w:rsid w:val="00367CCA"/>
    <w:rsid w:val="00374F22"/>
    <w:rsid w:val="003A1F10"/>
    <w:rsid w:val="003D2FFE"/>
    <w:rsid w:val="00400032"/>
    <w:rsid w:val="0042394B"/>
    <w:rsid w:val="00443912"/>
    <w:rsid w:val="00473B08"/>
    <w:rsid w:val="00474B5F"/>
    <w:rsid w:val="004A3CE6"/>
    <w:rsid w:val="004A4A1D"/>
    <w:rsid w:val="004B2C9D"/>
    <w:rsid w:val="004B4A47"/>
    <w:rsid w:val="004C00FA"/>
    <w:rsid w:val="004E667D"/>
    <w:rsid w:val="004E6AF9"/>
    <w:rsid w:val="004F7B24"/>
    <w:rsid w:val="005031DF"/>
    <w:rsid w:val="00567D42"/>
    <w:rsid w:val="00587BBB"/>
    <w:rsid w:val="00597314"/>
    <w:rsid w:val="005A293A"/>
    <w:rsid w:val="005A61AF"/>
    <w:rsid w:val="005D0886"/>
    <w:rsid w:val="005D3267"/>
    <w:rsid w:val="005E384D"/>
    <w:rsid w:val="005F2181"/>
    <w:rsid w:val="005F724B"/>
    <w:rsid w:val="00610ADC"/>
    <w:rsid w:val="00625DFF"/>
    <w:rsid w:val="0063072B"/>
    <w:rsid w:val="00662891"/>
    <w:rsid w:val="006628B7"/>
    <w:rsid w:val="00675FCB"/>
    <w:rsid w:val="00676403"/>
    <w:rsid w:val="006B3532"/>
    <w:rsid w:val="006B3942"/>
    <w:rsid w:val="006B5B52"/>
    <w:rsid w:val="006C3914"/>
    <w:rsid w:val="006D3648"/>
    <w:rsid w:val="0074184E"/>
    <w:rsid w:val="00743829"/>
    <w:rsid w:val="00755F8D"/>
    <w:rsid w:val="0075614B"/>
    <w:rsid w:val="0075787A"/>
    <w:rsid w:val="007853C7"/>
    <w:rsid w:val="00796503"/>
    <w:rsid w:val="007A5C98"/>
    <w:rsid w:val="007C335E"/>
    <w:rsid w:val="007D2BDA"/>
    <w:rsid w:val="007D4143"/>
    <w:rsid w:val="007D56C8"/>
    <w:rsid w:val="007E3934"/>
    <w:rsid w:val="007E7303"/>
    <w:rsid w:val="007F1D9E"/>
    <w:rsid w:val="008212A0"/>
    <w:rsid w:val="00837F53"/>
    <w:rsid w:val="008D1750"/>
    <w:rsid w:val="008D7800"/>
    <w:rsid w:val="008E0764"/>
    <w:rsid w:val="008E2910"/>
    <w:rsid w:val="008E4913"/>
    <w:rsid w:val="008E6C0C"/>
    <w:rsid w:val="00900464"/>
    <w:rsid w:val="0090100E"/>
    <w:rsid w:val="00912904"/>
    <w:rsid w:val="0093767E"/>
    <w:rsid w:val="00947816"/>
    <w:rsid w:val="00972A02"/>
    <w:rsid w:val="0099517C"/>
    <w:rsid w:val="009A0937"/>
    <w:rsid w:val="009B2ECD"/>
    <w:rsid w:val="009B7914"/>
    <w:rsid w:val="009D6239"/>
    <w:rsid w:val="009F430B"/>
    <w:rsid w:val="00A160B2"/>
    <w:rsid w:val="00A360D6"/>
    <w:rsid w:val="00A566E7"/>
    <w:rsid w:val="00A940D3"/>
    <w:rsid w:val="00A96FCA"/>
    <w:rsid w:val="00AA4BE8"/>
    <w:rsid w:val="00AA5187"/>
    <w:rsid w:val="00AC0AAB"/>
    <w:rsid w:val="00AC7BA9"/>
    <w:rsid w:val="00B0425E"/>
    <w:rsid w:val="00B65B5A"/>
    <w:rsid w:val="00B77788"/>
    <w:rsid w:val="00B900E2"/>
    <w:rsid w:val="00B9118E"/>
    <w:rsid w:val="00BD6115"/>
    <w:rsid w:val="00BD684A"/>
    <w:rsid w:val="00BE0E66"/>
    <w:rsid w:val="00BE75CB"/>
    <w:rsid w:val="00BF4BCB"/>
    <w:rsid w:val="00C175FB"/>
    <w:rsid w:val="00C32724"/>
    <w:rsid w:val="00C32DAE"/>
    <w:rsid w:val="00C40E24"/>
    <w:rsid w:val="00C55540"/>
    <w:rsid w:val="00C55790"/>
    <w:rsid w:val="00C61B80"/>
    <w:rsid w:val="00C92D9A"/>
    <w:rsid w:val="00C96EF5"/>
    <w:rsid w:val="00CD671A"/>
    <w:rsid w:val="00CE4DD2"/>
    <w:rsid w:val="00D25064"/>
    <w:rsid w:val="00D264C1"/>
    <w:rsid w:val="00D32B51"/>
    <w:rsid w:val="00D33D75"/>
    <w:rsid w:val="00D34668"/>
    <w:rsid w:val="00D3740E"/>
    <w:rsid w:val="00D40335"/>
    <w:rsid w:val="00D76680"/>
    <w:rsid w:val="00D82F57"/>
    <w:rsid w:val="00D841A5"/>
    <w:rsid w:val="00D914D2"/>
    <w:rsid w:val="00DA25DB"/>
    <w:rsid w:val="00DB0791"/>
    <w:rsid w:val="00DD0045"/>
    <w:rsid w:val="00DD4251"/>
    <w:rsid w:val="00DD6270"/>
    <w:rsid w:val="00E02B50"/>
    <w:rsid w:val="00E03F11"/>
    <w:rsid w:val="00E06DC8"/>
    <w:rsid w:val="00E220B5"/>
    <w:rsid w:val="00E33D93"/>
    <w:rsid w:val="00E444DF"/>
    <w:rsid w:val="00E609EF"/>
    <w:rsid w:val="00E76ED9"/>
    <w:rsid w:val="00E8515B"/>
    <w:rsid w:val="00E90AFF"/>
    <w:rsid w:val="00EF2F91"/>
    <w:rsid w:val="00F07376"/>
    <w:rsid w:val="00F13423"/>
    <w:rsid w:val="00F33EE3"/>
    <w:rsid w:val="00F4213B"/>
    <w:rsid w:val="00F558A6"/>
    <w:rsid w:val="00F849ED"/>
    <w:rsid w:val="00F92398"/>
    <w:rsid w:val="00F93553"/>
    <w:rsid w:val="00FD31A0"/>
    <w:rsid w:val="00FF5D5C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ions-statements.parliament.uk/written-statements/detail/2021-05-13/hcws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emy.randall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5791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Nikolova</cp:lastModifiedBy>
  <cp:revision>7</cp:revision>
  <cp:lastPrinted>2007-07-12T09:53:00Z</cp:lastPrinted>
  <dcterms:created xsi:type="dcterms:W3CDTF">2021-06-19T08:55:00Z</dcterms:created>
  <dcterms:modified xsi:type="dcterms:W3CDTF">2021-06-29T14:49:00Z</dcterms:modified>
</cp:coreProperties>
</file>